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adjustRightInd w:val="0"/>
        <w:snapToGrid w:val="0"/>
        <w:spacing w:line="540" w:lineRule="exact"/>
        <w:ind w:firstLine="0" w:firstLineChars="0"/>
        <w:jc w:val="left"/>
        <w:rPr>
          <w:rFonts w:ascii="黑体" w:hAnsi="黑体" w:eastAsia="黑体" w:cs="Times New Roman"/>
          <w:sz w:val="28"/>
          <w:szCs w:val="28"/>
        </w:rPr>
      </w:pPr>
      <w:bookmarkStart w:id="0" w:name="_GoBack"/>
      <w:bookmarkEnd w:id="0"/>
      <w:r>
        <w:rPr>
          <w:rFonts w:hint="eastAsia" w:ascii="黑体" w:hAnsi="黑体" w:eastAsia="黑体" w:cs="Times New Roman"/>
          <w:sz w:val="28"/>
          <w:szCs w:val="28"/>
        </w:rPr>
        <w:t>附件2</w:t>
      </w:r>
    </w:p>
    <w:p>
      <w:pPr>
        <w:pStyle w:val="15"/>
        <w:adjustRightInd w:val="0"/>
        <w:snapToGrid w:val="0"/>
        <w:spacing w:line="540" w:lineRule="exact"/>
        <w:ind w:left="360" w:firstLine="0" w:firstLineChars="0"/>
        <w:jc w:val="center"/>
        <w:rPr>
          <w:rFonts w:ascii="方正小标宋简体" w:hAnsi="方正小标宋简体" w:eastAsia="方正小标宋简体" w:cs="Times New Roman"/>
          <w:sz w:val="36"/>
          <w:szCs w:val="36"/>
        </w:rPr>
      </w:pPr>
    </w:p>
    <w:p>
      <w:pPr>
        <w:pStyle w:val="15"/>
        <w:adjustRightInd w:val="0"/>
        <w:snapToGrid w:val="0"/>
        <w:spacing w:line="540" w:lineRule="exact"/>
        <w:ind w:left="360" w:firstLine="0" w:firstLineChars="0"/>
        <w:jc w:val="center"/>
        <w:rPr>
          <w:rFonts w:ascii="方正小标宋简体" w:hAnsi="方正小标宋简体" w:eastAsia="方正小标宋简体" w:cs="Times New Roman"/>
          <w:sz w:val="36"/>
          <w:szCs w:val="36"/>
        </w:rPr>
      </w:pPr>
      <w:r>
        <w:rPr>
          <w:rFonts w:ascii="方正小标宋简体" w:hAnsi="方正小标宋简体" w:eastAsia="方正小标宋简体" w:cs="Times New Roman"/>
          <w:sz w:val="36"/>
          <w:szCs w:val="36"/>
        </w:rPr>
        <w:t>青年进步奖获得者基本情况</w:t>
      </w:r>
    </w:p>
    <w:p>
      <w:pPr>
        <w:adjustRightInd w:val="0"/>
        <w:snapToGrid w:val="0"/>
        <w:spacing w:line="540" w:lineRule="exact"/>
        <w:jc w:val="center"/>
        <w:rPr>
          <w:rFonts w:ascii="方正小标宋简体" w:hAnsi="方正小标宋简体" w:eastAsia="方正小标宋简体" w:cs="Times New Roman"/>
          <w:sz w:val="36"/>
          <w:szCs w:val="36"/>
        </w:rPr>
      </w:pPr>
      <w:r>
        <w:rPr>
          <w:rFonts w:ascii="方正小标宋简体" w:hAnsi="方正小标宋简体" w:eastAsia="方正小标宋简体" w:cs="Times New Roman"/>
          <w:sz w:val="36"/>
          <w:szCs w:val="36"/>
        </w:rPr>
        <w:t>（按姓氏拼音排序）</w:t>
      </w:r>
    </w:p>
    <w:p>
      <w:pPr>
        <w:pStyle w:val="3"/>
        <w:adjustRightInd w:val="0"/>
        <w:snapToGrid w:val="0"/>
        <w:spacing w:line="540" w:lineRule="exact"/>
        <w:rPr>
          <w:rFonts w:ascii="Times New Roman" w:hAnsi="Times New Roman" w:eastAsia="黑体"/>
          <w:b/>
          <w:snapToGrid w:val="0"/>
          <w:kern w:val="32"/>
          <w:sz w:val="32"/>
        </w:rPr>
      </w:pPr>
      <w:r>
        <w:rPr>
          <w:rFonts w:ascii="Times New Roman" w:hAnsi="Times New Roman" w:eastAsia="黑体"/>
          <w:b/>
          <w:snapToGrid w:val="0"/>
          <w:kern w:val="32"/>
          <w:sz w:val="32"/>
        </w:rPr>
        <w:t>1.</w:t>
      </w:r>
      <w:r>
        <w:rPr>
          <w:rFonts w:hint="eastAsia"/>
        </w:rPr>
        <w:t xml:space="preserve"> </w:t>
      </w:r>
      <w:r>
        <w:rPr>
          <w:rFonts w:hint="eastAsia" w:ascii="Times New Roman" w:hAnsi="Times New Roman" w:eastAsia="黑体"/>
          <w:b/>
          <w:snapToGrid w:val="0"/>
          <w:kern w:val="32"/>
          <w:sz w:val="32"/>
        </w:rPr>
        <w:t>蓝晓程</w:t>
      </w:r>
    </w:p>
    <w:p>
      <w:pPr>
        <w:pStyle w:val="3"/>
        <w:adjustRightInd w:val="0"/>
        <w:snapToGrid w:val="0"/>
        <w:spacing w:line="540" w:lineRule="exact"/>
        <w:ind w:firstLine="640" w:firstLineChars="200"/>
        <w:rPr>
          <w:rFonts w:hAnsi="Times New Roman"/>
          <w:snapToGrid w:val="0"/>
          <w:kern w:val="32"/>
          <w:sz w:val="32"/>
        </w:rPr>
      </w:pPr>
      <w:r>
        <w:rPr>
          <w:rFonts w:hint="eastAsia" w:hAnsi="Times New Roman"/>
          <w:snapToGrid w:val="0"/>
          <w:kern w:val="32"/>
          <w:sz w:val="32"/>
        </w:rPr>
        <w:t>蓝晓程，男，1991年11月出生，博士，现工作于清华大学化工系、助理研究员，化学工程与技术专业。</w:t>
      </w:r>
    </w:p>
    <w:p>
      <w:pPr>
        <w:pStyle w:val="3"/>
        <w:adjustRightInd w:val="0"/>
        <w:snapToGrid w:val="0"/>
        <w:spacing w:line="540" w:lineRule="exact"/>
        <w:ind w:firstLine="640" w:firstLineChars="200"/>
        <w:rPr>
          <w:rFonts w:hAnsi="Times New Roman"/>
          <w:snapToGrid w:val="0"/>
          <w:kern w:val="32"/>
          <w:sz w:val="32"/>
        </w:rPr>
      </w:pPr>
      <w:r>
        <w:rPr>
          <w:rFonts w:hint="eastAsia" w:hAnsi="Times New Roman"/>
          <w:snapToGrid w:val="0"/>
          <w:kern w:val="32"/>
          <w:sz w:val="32"/>
        </w:rPr>
        <w:t>蓝晓程长期致力于多相催化及反应器技术开发。面向生物基精细化工品及高端化工材料单体的绿色转化，发展催化剂可控制备技术，研究催化剂构-效关系及反应机理，定向构建催化反应所需的微环境和活性中心，开发相应的催化反应工程技术。针对生物质及高端材料单体的绿色转化等重大技术需求，开发构件式浆态床、多级浆态床等新型塔式反应器，结合反应工程与工艺，开发绿色连续化生产新技术。入选清华大学“水木学者”支持计划，主持博士后科学基金面上项目、博士后科学基金特别资助项目和自然科学基金青年基金，承担多项企业技术开发项目。参与开发的MMA和仲醇氧化反应器技术，分别被石化联合会鉴定为“国际先进”和“国际领先”水平（本单位排名第2）</w:t>
      </w:r>
    </w:p>
    <w:p>
      <w:pPr>
        <w:pStyle w:val="3"/>
        <w:adjustRightInd w:val="0"/>
        <w:snapToGrid w:val="0"/>
        <w:spacing w:line="540" w:lineRule="exact"/>
        <w:ind w:firstLine="640" w:firstLineChars="200"/>
        <w:rPr>
          <w:rFonts w:ascii="Times New Roman" w:hAnsi="Times New Roman"/>
          <w:b/>
          <w:snapToGrid w:val="0"/>
          <w:kern w:val="32"/>
          <w:sz w:val="32"/>
          <w:szCs w:val="22"/>
        </w:rPr>
      </w:pPr>
      <w:r>
        <w:rPr>
          <w:rFonts w:hint="eastAsia" w:hAnsi="Times New Roman"/>
          <w:snapToGrid w:val="0"/>
          <w:kern w:val="32"/>
          <w:sz w:val="32"/>
        </w:rPr>
        <w:t>申请发明专利1</w:t>
      </w:r>
      <w:r>
        <w:rPr>
          <w:rFonts w:hAnsi="Times New Roman"/>
          <w:snapToGrid w:val="0"/>
          <w:kern w:val="32"/>
          <w:sz w:val="32"/>
        </w:rPr>
        <w:t>9</w:t>
      </w:r>
      <w:r>
        <w:rPr>
          <w:rFonts w:hint="eastAsia" w:hAnsi="Times New Roman"/>
          <w:snapToGrid w:val="0"/>
          <w:kern w:val="32"/>
          <w:sz w:val="32"/>
        </w:rPr>
        <w:t>项，授权</w:t>
      </w:r>
      <w:r>
        <w:rPr>
          <w:rFonts w:hAnsi="Times New Roman"/>
          <w:snapToGrid w:val="0"/>
          <w:kern w:val="32"/>
          <w:sz w:val="32"/>
        </w:rPr>
        <w:t>8</w:t>
      </w:r>
      <w:r>
        <w:rPr>
          <w:rFonts w:hint="eastAsia" w:hAnsi="Times New Roman"/>
          <w:snapToGrid w:val="0"/>
          <w:kern w:val="32"/>
          <w:sz w:val="32"/>
        </w:rPr>
        <w:t>项，发表SCI论文40余篇，以第一或通讯作者（含共同）在</w:t>
      </w:r>
      <w:r>
        <w:rPr>
          <w:rFonts w:hint="eastAsia" w:hAnsi="Times New Roman" w:cs="Times New Roman"/>
          <w:snapToGrid w:val="0"/>
          <w:kern w:val="32"/>
          <w:sz w:val="32"/>
          <w:szCs w:val="22"/>
        </w:rPr>
        <w:t>J</w:t>
      </w:r>
      <w:r>
        <w:rPr>
          <w:rFonts w:hAnsi="Times New Roman" w:cs="Times New Roman"/>
          <w:snapToGrid w:val="0"/>
          <w:kern w:val="32"/>
          <w:sz w:val="32"/>
          <w:szCs w:val="22"/>
        </w:rPr>
        <w:t>.</w:t>
      </w:r>
      <w:r>
        <w:rPr>
          <w:rFonts w:hint="eastAsia" w:hAnsi="Times New Roman" w:cs="Times New Roman"/>
          <w:snapToGrid w:val="0"/>
          <w:kern w:val="32"/>
          <w:sz w:val="32"/>
          <w:szCs w:val="22"/>
        </w:rPr>
        <w:t xml:space="preserve"> Am</w:t>
      </w:r>
      <w:r>
        <w:rPr>
          <w:rFonts w:hAnsi="Times New Roman" w:cs="Times New Roman"/>
          <w:snapToGrid w:val="0"/>
          <w:kern w:val="32"/>
          <w:sz w:val="32"/>
          <w:szCs w:val="22"/>
        </w:rPr>
        <w:t>.</w:t>
      </w:r>
      <w:r>
        <w:rPr>
          <w:rFonts w:hint="eastAsia" w:hAnsi="Times New Roman" w:cs="Times New Roman"/>
          <w:snapToGrid w:val="0"/>
          <w:kern w:val="32"/>
          <w:sz w:val="32"/>
          <w:szCs w:val="22"/>
        </w:rPr>
        <w:t xml:space="preserve"> Chem</w:t>
      </w:r>
      <w:r>
        <w:rPr>
          <w:rFonts w:hAnsi="Times New Roman" w:cs="Times New Roman"/>
          <w:snapToGrid w:val="0"/>
          <w:kern w:val="32"/>
          <w:sz w:val="32"/>
          <w:szCs w:val="22"/>
        </w:rPr>
        <w:t>.</w:t>
      </w:r>
      <w:r>
        <w:rPr>
          <w:rFonts w:hint="eastAsia" w:hAnsi="Times New Roman" w:cs="Times New Roman"/>
          <w:snapToGrid w:val="0"/>
          <w:kern w:val="32"/>
          <w:sz w:val="32"/>
          <w:szCs w:val="22"/>
        </w:rPr>
        <w:t xml:space="preserve"> Soc</w:t>
      </w:r>
      <w:r>
        <w:rPr>
          <w:rFonts w:hAnsi="Times New Roman" w:cs="Times New Roman"/>
          <w:snapToGrid w:val="0"/>
          <w:kern w:val="32"/>
          <w:sz w:val="32"/>
          <w:szCs w:val="22"/>
        </w:rPr>
        <w:t>.</w:t>
      </w:r>
      <w:r>
        <w:rPr>
          <w:rFonts w:hint="eastAsia" w:hAnsi="Times New Roman"/>
          <w:snapToGrid w:val="0"/>
          <w:kern w:val="32"/>
          <w:sz w:val="32"/>
        </w:rPr>
        <w:t>、 ACS Catal.、J. Catal.、Chem. Sci.和AIChE J.等化学化工领域期刊上发表学术论文</w:t>
      </w:r>
      <w:r>
        <w:rPr>
          <w:rFonts w:hAnsi="Times New Roman"/>
          <w:snapToGrid w:val="0"/>
          <w:kern w:val="32"/>
          <w:sz w:val="32"/>
        </w:rPr>
        <w:t>15</w:t>
      </w:r>
      <w:r>
        <w:rPr>
          <w:rFonts w:hint="eastAsia" w:hAnsi="Times New Roman"/>
          <w:snapToGrid w:val="0"/>
          <w:kern w:val="32"/>
          <w:sz w:val="32"/>
        </w:rPr>
        <w:t>篇。</w:t>
      </w:r>
    </w:p>
    <w:p>
      <w:pPr>
        <w:pStyle w:val="3"/>
        <w:adjustRightInd w:val="0"/>
        <w:snapToGrid w:val="0"/>
        <w:spacing w:line="540" w:lineRule="exact"/>
        <w:rPr>
          <w:rFonts w:ascii="Times New Roman" w:hAnsi="Times New Roman" w:eastAsia="黑体"/>
          <w:b/>
          <w:snapToGrid w:val="0"/>
          <w:kern w:val="32"/>
          <w:sz w:val="32"/>
        </w:rPr>
      </w:pPr>
    </w:p>
    <w:p>
      <w:pPr>
        <w:pStyle w:val="3"/>
        <w:adjustRightInd w:val="0"/>
        <w:snapToGrid w:val="0"/>
        <w:spacing w:line="540" w:lineRule="exact"/>
        <w:rPr>
          <w:rFonts w:ascii="Times New Roman" w:hAnsi="Times New Roman" w:eastAsia="黑体"/>
          <w:b/>
          <w:snapToGrid w:val="0"/>
          <w:kern w:val="32"/>
          <w:sz w:val="32"/>
        </w:rPr>
      </w:pPr>
      <w:r>
        <w:rPr>
          <w:rFonts w:ascii="Times New Roman" w:hAnsi="Times New Roman" w:eastAsia="黑体"/>
          <w:b/>
          <w:snapToGrid w:val="0"/>
          <w:kern w:val="32"/>
          <w:sz w:val="32"/>
        </w:rPr>
        <w:t>2.</w:t>
      </w:r>
      <w:r>
        <w:rPr>
          <w:rFonts w:hint="eastAsia"/>
        </w:rPr>
        <w:t xml:space="preserve"> </w:t>
      </w:r>
      <w:r>
        <w:rPr>
          <w:rFonts w:hint="eastAsia" w:ascii="Times New Roman" w:hAnsi="Times New Roman" w:eastAsia="黑体"/>
          <w:b/>
          <w:snapToGrid w:val="0"/>
          <w:kern w:val="32"/>
          <w:sz w:val="32"/>
        </w:rPr>
        <w:t>李娜</w:t>
      </w:r>
    </w:p>
    <w:p>
      <w:pPr>
        <w:widowControl/>
        <w:adjustRightInd w:val="0"/>
        <w:snapToGrid w:val="0"/>
        <w:spacing w:line="540" w:lineRule="exact"/>
        <w:ind w:firstLine="641"/>
        <w:rPr>
          <w:rFonts w:ascii="仿宋_GB2312" w:hAnsi="宋体" w:eastAsia="仿宋_GB2312" w:cs="宋体"/>
          <w:snapToGrid w:val="0"/>
          <w:kern w:val="32"/>
          <w:sz w:val="32"/>
          <w:szCs w:val="24"/>
        </w:rPr>
      </w:pPr>
      <w:r>
        <w:rPr>
          <w:rFonts w:hint="eastAsia" w:ascii="仿宋_GB2312" w:hAnsi="宋体" w:eastAsia="仿宋_GB2312" w:cs="宋体"/>
          <w:snapToGrid w:val="0"/>
          <w:kern w:val="32"/>
          <w:sz w:val="32"/>
          <w:szCs w:val="24"/>
        </w:rPr>
        <w:t>李娜，女，1989年7月出生，博士，现在中石化石油化工科学研究院有限公司工作、高级工程师，化学工艺专业。</w:t>
      </w:r>
    </w:p>
    <w:p>
      <w:pPr>
        <w:widowControl/>
        <w:adjustRightInd w:val="0"/>
        <w:snapToGrid w:val="0"/>
        <w:spacing w:line="540" w:lineRule="exact"/>
        <w:ind w:firstLine="641"/>
        <w:rPr>
          <w:rFonts w:ascii="仿宋_GB2312" w:hAnsi="宋体" w:eastAsia="仿宋_GB2312" w:cs="宋体"/>
          <w:snapToGrid w:val="0"/>
          <w:kern w:val="32"/>
          <w:sz w:val="32"/>
          <w:szCs w:val="24"/>
        </w:rPr>
      </w:pPr>
      <w:r>
        <w:rPr>
          <w:rFonts w:hint="eastAsia" w:ascii="仿宋_GB2312" w:hAnsi="宋体" w:eastAsia="仿宋_GB2312" w:cs="宋体"/>
          <w:snapToGrid w:val="0"/>
          <w:kern w:val="32"/>
          <w:sz w:val="32"/>
          <w:szCs w:val="24"/>
        </w:rPr>
        <w:t>李娜长期致力于低碳及可持续燃料研究，团队协作探明了混动稀燃对滞燃期长、火焰传播速率快的分子结构特征需求，首次通过燃油设计，使混动发动机热效率突破45%，比市售汽油提升1.04个百分点，全生命周期降碳2.45%，相当于8%生物乙醇的减碳效益，约为全炼厂减碳20%—30%，为国七协同降碳提供升级方向。代表中国石化，作为第一执笔人，联合国家电投，完成国家发改委“未来能源”之《可持续燃料跨越工程行动计划》研究制定。锚定5项重点任务，规划4个国家级平台，确定4种原料和7条技术路线。团队协作构筑了交通燃料全生命周期碳排放评价模型及数据库，建成国家工信部-石化行业低碳产品检测与评价平台，完成包含燃料、SAF、绿氢等10余项产品碳足迹方法学研究。</w:t>
      </w:r>
    </w:p>
    <w:p>
      <w:pPr>
        <w:widowControl/>
        <w:adjustRightInd w:val="0"/>
        <w:snapToGrid w:val="0"/>
        <w:spacing w:line="540" w:lineRule="exact"/>
        <w:ind w:firstLine="641"/>
        <w:rPr>
          <w:rFonts w:ascii="仿宋_GB2312" w:hAnsi="宋体" w:eastAsia="仿宋_GB2312" w:cs="宋体"/>
          <w:snapToGrid w:val="0"/>
          <w:kern w:val="32"/>
          <w:sz w:val="32"/>
          <w:szCs w:val="24"/>
        </w:rPr>
      </w:pPr>
      <w:r>
        <w:rPr>
          <w:rFonts w:hint="eastAsia" w:ascii="仿宋_GB2312" w:hAnsi="宋体" w:eastAsia="仿宋_GB2312" w:cs="宋体"/>
          <w:snapToGrid w:val="0"/>
          <w:kern w:val="32"/>
          <w:sz w:val="32"/>
          <w:szCs w:val="24"/>
        </w:rPr>
        <w:t>担任中国石油学会青年委员会委员，获北京市青年学术演讲比赛（中国石化赛区）一等奖、石科院优秀青年英才奖、石科院科技进步二等奖、青论会三等奖、创新创意大赛三等奖，申请中国发明专利2件，SCI、EI及核心期刊论文10余篇。</w:t>
      </w:r>
    </w:p>
    <w:p>
      <w:pPr>
        <w:pStyle w:val="3"/>
        <w:adjustRightInd w:val="0"/>
        <w:snapToGrid w:val="0"/>
        <w:spacing w:line="540" w:lineRule="exact"/>
        <w:rPr>
          <w:rFonts w:ascii="Times New Roman" w:hAnsi="Times New Roman" w:eastAsia="黑体"/>
          <w:b/>
          <w:snapToGrid w:val="0"/>
          <w:kern w:val="32"/>
          <w:sz w:val="32"/>
        </w:rPr>
      </w:pPr>
      <w:r>
        <w:rPr>
          <w:rFonts w:ascii="Times New Roman" w:hAnsi="Times New Roman" w:eastAsia="黑体"/>
          <w:b/>
          <w:snapToGrid w:val="0"/>
          <w:kern w:val="32"/>
          <w:sz w:val="32"/>
        </w:rPr>
        <w:t>3.</w:t>
      </w:r>
      <w:r>
        <w:rPr>
          <w:rFonts w:hint="eastAsia"/>
        </w:rPr>
        <w:t xml:space="preserve"> </w:t>
      </w:r>
      <w:r>
        <w:rPr>
          <w:rFonts w:hint="eastAsia" w:ascii="Times New Roman" w:hAnsi="Times New Roman" w:eastAsia="黑体"/>
          <w:b/>
          <w:snapToGrid w:val="0"/>
          <w:kern w:val="32"/>
          <w:sz w:val="32"/>
        </w:rPr>
        <w:t>罗能超</w:t>
      </w:r>
    </w:p>
    <w:p>
      <w:pPr>
        <w:widowControl/>
        <w:adjustRightInd w:val="0"/>
        <w:snapToGrid w:val="0"/>
        <w:spacing w:line="540" w:lineRule="exact"/>
        <w:ind w:firstLine="641"/>
        <w:rPr>
          <w:rFonts w:ascii="仿宋_GB2312" w:hAnsi="宋体" w:eastAsia="仿宋_GB2312" w:cs="宋体"/>
          <w:snapToGrid w:val="0"/>
          <w:kern w:val="32"/>
          <w:sz w:val="32"/>
          <w:szCs w:val="24"/>
        </w:rPr>
      </w:pPr>
      <w:r>
        <w:rPr>
          <w:rFonts w:hint="eastAsia" w:ascii="仿宋_GB2312" w:hAnsi="宋体" w:eastAsia="仿宋_GB2312" w:cs="宋体"/>
          <w:snapToGrid w:val="0"/>
          <w:kern w:val="32"/>
          <w:sz w:val="32"/>
          <w:szCs w:val="24"/>
        </w:rPr>
        <w:t>罗能超，男，1992年5月出生，博士，中国科学院大连化学物理研究所副研究员，有机化学专业。</w:t>
      </w:r>
    </w:p>
    <w:p>
      <w:pPr>
        <w:widowControl/>
        <w:adjustRightInd w:val="0"/>
        <w:snapToGrid w:val="0"/>
        <w:spacing w:line="540" w:lineRule="exact"/>
        <w:ind w:firstLine="641"/>
        <w:rPr>
          <w:rFonts w:ascii="仿宋_GB2312" w:hAnsi="宋体" w:eastAsia="仿宋_GB2312" w:cs="宋体"/>
          <w:snapToGrid w:val="0"/>
          <w:kern w:val="32"/>
          <w:sz w:val="32"/>
          <w:szCs w:val="24"/>
        </w:rPr>
      </w:pPr>
      <w:r>
        <w:rPr>
          <w:rFonts w:hint="eastAsia" w:ascii="仿宋_GB2312" w:hAnsi="宋体" w:eastAsia="仿宋_GB2312" w:cs="宋体"/>
          <w:snapToGrid w:val="0"/>
          <w:kern w:val="32"/>
          <w:sz w:val="32"/>
          <w:szCs w:val="24"/>
        </w:rPr>
        <w:t>罗能超长期致力于生物质光催化选择性转化的技术开发。提出了“自由基调控”的生物质光催化转化思路，用于指导光催化剂结构和反应环境的调控，解决了碳自由基中间体产生慢、偶联和裂解选择性差等关键科学问题。揭示了碳自由基的高效产生、定向偶联、选择性裂解3个方面的基本规律，基于该研究发现，实现了生物质平台分子光催化转化合成二元醇、柴油前体和C1氢载体等新过程，创新了生物质碳链骨架重构的途径。</w:t>
      </w:r>
    </w:p>
    <w:p>
      <w:pPr>
        <w:pStyle w:val="3"/>
        <w:adjustRightInd w:val="0"/>
        <w:snapToGrid w:val="0"/>
        <w:spacing w:line="540" w:lineRule="exact"/>
        <w:ind w:firstLine="641"/>
        <w:rPr>
          <w:rFonts w:ascii="Times New Roman" w:hAnsi="Times New Roman"/>
          <w:b/>
          <w:snapToGrid w:val="0"/>
          <w:kern w:val="32"/>
          <w:sz w:val="32"/>
          <w:szCs w:val="22"/>
        </w:rPr>
      </w:pPr>
      <w:r>
        <w:rPr>
          <w:rFonts w:hint="eastAsia"/>
          <w:snapToGrid w:val="0"/>
          <w:kern w:val="32"/>
          <w:sz w:val="32"/>
        </w:rPr>
        <w:t>曾获中国科学院院长特别奖（2019年）、CPCIF-Clariant可持续发展青年创新奖（2021年）、辽宁省自然科学学术成果奖一等奖（2022年）和首届大连市自然科学奖一等奖（排名第2，2023年）。以第一作者或通讯作者在Nature Energy、Nature Synthesis、Joule、J. Am. Chem. Soc.（2篇）、Angew. Chem. Int. Ed.、J. Energy Chem.、Chin. J. Catal.等期刊上发表论文17篇，获中国发明专利授权5件。入选辽宁省优青和中国科学院青年创新促进会会员。担任J. Energy Chem.期刊青年编委。</w:t>
      </w:r>
    </w:p>
    <w:p>
      <w:pPr>
        <w:pStyle w:val="3"/>
        <w:adjustRightInd w:val="0"/>
        <w:snapToGrid w:val="0"/>
        <w:spacing w:line="540" w:lineRule="exact"/>
        <w:rPr>
          <w:rFonts w:ascii="Times New Roman" w:hAnsi="Times New Roman" w:eastAsia="黑体"/>
          <w:b/>
          <w:snapToGrid w:val="0"/>
          <w:kern w:val="32"/>
          <w:sz w:val="32"/>
        </w:rPr>
      </w:pPr>
      <w:r>
        <w:rPr>
          <w:rFonts w:ascii="Times New Roman" w:hAnsi="Times New Roman" w:eastAsia="黑体"/>
          <w:b/>
          <w:snapToGrid w:val="0"/>
          <w:kern w:val="32"/>
          <w:sz w:val="32"/>
        </w:rPr>
        <w:t>4.</w:t>
      </w:r>
      <w:r>
        <w:rPr>
          <w:rFonts w:hint="eastAsia"/>
        </w:rPr>
        <w:t xml:space="preserve"> </w:t>
      </w:r>
      <w:r>
        <w:rPr>
          <w:rFonts w:hint="eastAsia" w:ascii="Times New Roman" w:hAnsi="Times New Roman" w:eastAsia="黑体"/>
          <w:b/>
          <w:snapToGrid w:val="0"/>
          <w:kern w:val="32"/>
          <w:sz w:val="32"/>
        </w:rPr>
        <w:t>乔富林</w:t>
      </w:r>
    </w:p>
    <w:p>
      <w:pPr>
        <w:widowControl/>
        <w:adjustRightInd w:val="0"/>
        <w:snapToGrid w:val="0"/>
        <w:spacing w:line="540" w:lineRule="exact"/>
        <w:ind w:firstLine="641"/>
        <w:rPr>
          <w:rFonts w:ascii="仿宋_GB2312" w:hAnsi="宋体" w:eastAsia="仿宋_GB2312" w:cs="宋体"/>
          <w:snapToGrid w:val="0"/>
          <w:kern w:val="32"/>
          <w:sz w:val="32"/>
          <w:szCs w:val="24"/>
        </w:rPr>
      </w:pPr>
      <w:r>
        <w:rPr>
          <w:rFonts w:hint="eastAsia" w:ascii="仿宋_GB2312" w:hAnsi="宋体" w:eastAsia="仿宋_GB2312" w:cs="宋体"/>
          <w:snapToGrid w:val="0"/>
          <w:kern w:val="32"/>
          <w:sz w:val="32"/>
          <w:szCs w:val="24"/>
        </w:rPr>
        <w:t>乔富林，男，1990年6月出生，博士，现在中石化石油化工科学研究院有限公司工作，高级工程师、课题组长，专业专长为油田化学。</w:t>
      </w:r>
    </w:p>
    <w:p>
      <w:pPr>
        <w:widowControl/>
        <w:adjustRightInd w:val="0"/>
        <w:snapToGrid w:val="0"/>
        <w:spacing w:line="540" w:lineRule="exact"/>
        <w:ind w:firstLine="641"/>
        <w:rPr>
          <w:rFonts w:ascii="仿宋_GB2312" w:hAnsi="宋体" w:eastAsia="仿宋_GB2312" w:cs="宋体"/>
          <w:snapToGrid w:val="0"/>
          <w:kern w:val="32"/>
          <w:sz w:val="32"/>
          <w:szCs w:val="24"/>
        </w:rPr>
      </w:pPr>
      <w:r>
        <w:rPr>
          <w:rFonts w:hint="eastAsia" w:ascii="仿宋_GB2312" w:hAnsi="宋体" w:eastAsia="仿宋_GB2312" w:cs="宋体"/>
          <w:snapToGrid w:val="0"/>
          <w:kern w:val="32"/>
          <w:sz w:val="32"/>
          <w:szCs w:val="24"/>
        </w:rPr>
        <w:t>乔富林长期致力于高性能生物基绿色油田化学品及应用技术开发。主要工作包括：一是基于微生物发酵液及植物油脂等生物基原材料，通过创新改性合成工艺，研制了系列新型油水两亲型生物基化学品，解决了传统工业合成化学品生物降解性差、在稠油油藏苛刻条件下界面活性低、润湿性差等关键问题，实现工业放大生产；二是以新型生物基化学品为基础，作为主要参与人开发形成稠油化学降黏冷采和油污土壤修复两项技术，并在胜利油田进行了现场应用，取得了优良的经济、社会效益。两项技术均通过中国石化科技部技术鉴定，整体技术分别达到“国际领先”和“国际先进”水平。</w:t>
      </w:r>
    </w:p>
    <w:p>
      <w:pPr>
        <w:pStyle w:val="3"/>
        <w:adjustRightInd w:val="0"/>
        <w:snapToGrid w:val="0"/>
        <w:spacing w:line="540" w:lineRule="exact"/>
        <w:ind w:firstLine="641"/>
        <w:rPr>
          <w:rFonts w:ascii="Times New Roman" w:hAnsi="Times New Roman"/>
          <w:b/>
          <w:snapToGrid w:val="0"/>
          <w:kern w:val="32"/>
          <w:sz w:val="32"/>
          <w:szCs w:val="22"/>
        </w:rPr>
      </w:pPr>
      <w:r>
        <w:rPr>
          <w:rFonts w:hint="eastAsia"/>
          <w:snapToGrid w:val="0"/>
          <w:kern w:val="32"/>
          <w:sz w:val="32"/>
        </w:rPr>
        <w:t>主持国家自然科学基金青年基金1项。获得纽伦堡国际发明专利金奖1项，中国石化科技进步奖2项，行业协会科技进步奖2项；申请中国发明专利75件，已授权25件，申请国际专利1件；发表SCI、EI及核心期刊论文12篇；入选中国石化科研骨干人才库，3次获得石科院优秀发明人。</w:t>
      </w:r>
    </w:p>
    <w:p>
      <w:pPr>
        <w:pStyle w:val="3"/>
        <w:adjustRightInd w:val="0"/>
        <w:snapToGrid w:val="0"/>
        <w:spacing w:line="540" w:lineRule="exact"/>
        <w:rPr>
          <w:rFonts w:ascii="Times New Roman" w:hAnsi="Times New Roman" w:eastAsia="黑体"/>
          <w:b/>
          <w:snapToGrid w:val="0"/>
          <w:kern w:val="32"/>
          <w:sz w:val="32"/>
        </w:rPr>
      </w:pPr>
      <w:r>
        <w:rPr>
          <w:rFonts w:ascii="Times New Roman" w:hAnsi="Times New Roman" w:eastAsia="黑体"/>
          <w:b/>
          <w:snapToGrid w:val="0"/>
          <w:kern w:val="32"/>
          <w:sz w:val="32"/>
        </w:rPr>
        <w:t>5.</w:t>
      </w:r>
      <w:r>
        <w:rPr>
          <w:rFonts w:hint="eastAsia"/>
        </w:rPr>
        <w:t xml:space="preserve"> </w:t>
      </w:r>
      <w:r>
        <w:rPr>
          <w:rFonts w:hint="eastAsia" w:ascii="Times New Roman" w:hAnsi="Times New Roman" w:eastAsia="黑体"/>
          <w:b/>
          <w:snapToGrid w:val="0"/>
          <w:kern w:val="32"/>
          <w:sz w:val="32"/>
        </w:rPr>
        <w:t>宋松</w:t>
      </w:r>
    </w:p>
    <w:p>
      <w:pPr>
        <w:widowControl/>
        <w:adjustRightInd w:val="0"/>
        <w:snapToGrid w:val="0"/>
        <w:spacing w:line="540" w:lineRule="exact"/>
        <w:ind w:firstLine="641"/>
        <w:rPr>
          <w:rFonts w:ascii="仿宋_GB2312" w:hAnsi="宋体" w:eastAsia="仿宋_GB2312" w:cs="宋体"/>
          <w:snapToGrid w:val="0"/>
          <w:kern w:val="32"/>
          <w:sz w:val="32"/>
          <w:szCs w:val="24"/>
        </w:rPr>
      </w:pPr>
      <w:r>
        <w:rPr>
          <w:rFonts w:hint="eastAsia" w:ascii="仿宋_GB2312" w:hAnsi="宋体" w:eastAsia="仿宋_GB2312" w:cs="宋体"/>
          <w:snapToGrid w:val="0"/>
          <w:kern w:val="32"/>
          <w:sz w:val="32"/>
          <w:szCs w:val="24"/>
        </w:rPr>
        <w:t>宋松，男，1990年10月出生，博士，现在天津大学化工学院工作、副研究员，工业催化专业。</w:t>
      </w:r>
    </w:p>
    <w:p>
      <w:pPr>
        <w:widowControl/>
        <w:adjustRightInd w:val="0"/>
        <w:snapToGrid w:val="0"/>
        <w:spacing w:line="540" w:lineRule="exact"/>
        <w:ind w:firstLine="641"/>
        <w:rPr>
          <w:rFonts w:ascii="仿宋_GB2312" w:hAnsi="宋体" w:eastAsia="仿宋_GB2312" w:cs="宋体"/>
          <w:snapToGrid w:val="0"/>
          <w:kern w:val="32"/>
          <w:sz w:val="32"/>
          <w:szCs w:val="24"/>
        </w:rPr>
      </w:pPr>
      <w:r>
        <w:rPr>
          <w:rFonts w:hint="eastAsia" w:ascii="仿宋_GB2312" w:hAnsi="宋体" w:eastAsia="仿宋_GB2312" w:cs="宋体"/>
          <w:snapToGrid w:val="0"/>
          <w:kern w:val="32"/>
          <w:sz w:val="32"/>
          <w:szCs w:val="24"/>
        </w:rPr>
        <w:t>宋松长期致力于生物质催化转化合成高值化学品的研究，围绕新合成路线的设计和高效催化体系的构筑等关键科学问题，取得了系列创新性研究成果。具体如下：一是针对木质素转化中产品价值低的问题，发展了木质素制备聚合物单体对苯二甲酸的催化合成新路线，构筑了选择性断裂木质素C-O键的高效Mo基催化剂，创新了木质素高值化利用的途径；二是针对糠醛转化中产品价值低的问题，发展了糠醛合成含氮杂环化学品的催化合成新路线，构筑了金属+酸双活性中心空间隔离的高效双功能分子筛催化体系，提高了糠醛多步串联转化的反应活性和选择性；三是针对氨基酸缺乏绿色高效合成方法的问题，开发了光催化胺化α-羟基酸合成α-氨基酸的新方法，提出了调控半导体表面结构控制产物选择性的新策略，实现了温和条件下α-氨基酸的绿色高效合成。</w:t>
      </w:r>
    </w:p>
    <w:p>
      <w:pPr>
        <w:widowControl/>
        <w:adjustRightInd w:val="0"/>
        <w:snapToGrid w:val="0"/>
        <w:spacing w:line="540" w:lineRule="exact"/>
        <w:ind w:firstLine="641"/>
        <w:rPr>
          <w:rFonts w:ascii="Times New Roman" w:hAnsi="Times New Roman"/>
          <w:b/>
          <w:snapToGrid w:val="0"/>
          <w:kern w:val="32"/>
          <w:sz w:val="32"/>
        </w:rPr>
      </w:pPr>
      <w:r>
        <w:rPr>
          <w:rFonts w:hint="eastAsia" w:ascii="仿宋_GB2312" w:hAnsi="宋体" w:eastAsia="仿宋_GB2312" w:cs="宋体"/>
          <w:snapToGrid w:val="0"/>
          <w:kern w:val="32"/>
          <w:sz w:val="32"/>
          <w:szCs w:val="24"/>
        </w:rPr>
        <w:t>主持国家自然科学基金青年/面上、国家重点研发计划子课题等科研项目，以第一/通讯作者在Nat. Commun.、Angew. Chem. Int. Ed.（3篇）、Acc. Chem. Res.和Appl. Catal. B（3篇）等学术期刊发表论文20余篇，申请中国发明专利4件，入选中国科协青年人才托举工程，获得天津市优秀博士学位论文等荣誉称号。</w:t>
      </w:r>
    </w:p>
    <w:p>
      <w:pPr>
        <w:pStyle w:val="3"/>
        <w:adjustRightInd w:val="0"/>
        <w:snapToGrid w:val="0"/>
        <w:spacing w:line="540" w:lineRule="exact"/>
        <w:rPr>
          <w:rFonts w:ascii="Times New Roman" w:hAnsi="Times New Roman" w:eastAsia="黑体"/>
          <w:b/>
          <w:snapToGrid w:val="0"/>
          <w:kern w:val="32"/>
          <w:sz w:val="32"/>
        </w:rPr>
      </w:pPr>
      <w:r>
        <w:rPr>
          <w:rFonts w:ascii="Times New Roman" w:hAnsi="Times New Roman" w:eastAsia="黑体"/>
          <w:b/>
          <w:snapToGrid w:val="0"/>
          <w:kern w:val="32"/>
          <w:sz w:val="32"/>
        </w:rPr>
        <w:t>6.</w:t>
      </w:r>
      <w:r>
        <w:rPr>
          <w:rFonts w:hint="eastAsia"/>
        </w:rPr>
        <w:t xml:space="preserve"> </w:t>
      </w:r>
      <w:r>
        <w:rPr>
          <w:rFonts w:hint="eastAsia" w:ascii="Times New Roman" w:hAnsi="Times New Roman" w:eastAsia="黑体"/>
          <w:b/>
          <w:snapToGrid w:val="0"/>
          <w:kern w:val="32"/>
          <w:sz w:val="32"/>
        </w:rPr>
        <w:t>武耀康</w:t>
      </w:r>
    </w:p>
    <w:p>
      <w:pPr>
        <w:widowControl/>
        <w:adjustRightInd w:val="0"/>
        <w:snapToGrid w:val="0"/>
        <w:spacing w:line="540" w:lineRule="exact"/>
        <w:ind w:firstLine="640"/>
        <w:rPr>
          <w:rFonts w:ascii="仿宋_GB2312" w:eastAsia="仿宋_GB2312"/>
          <w:snapToGrid w:val="0"/>
          <w:kern w:val="32"/>
          <w:sz w:val="32"/>
        </w:rPr>
      </w:pPr>
      <w:r>
        <w:rPr>
          <w:rFonts w:hint="eastAsia" w:ascii="仿宋_GB2312" w:eastAsia="仿宋_GB2312"/>
          <w:snapToGrid w:val="0"/>
          <w:kern w:val="32"/>
          <w:sz w:val="32"/>
        </w:rPr>
        <w:t>武耀康，男，1990年3月出生，博士，现在江南大学工作、副教授，发酵工程专业。</w:t>
      </w:r>
    </w:p>
    <w:p>
      <w:pPr>
        <w:widowControl/>
        <w:adjustRightInd w:val="0"/>
        <w:snapToGrid w:val="0"/>
        <w:spacing w:line="540" w:lineRule="exact"/>
        <w:ind w:firstLine="640"/>
        <w:rPr>
          <w:rFonts w:ascii="仿宋_GB2312" w:eastAsia="仿宋_GB2312"/>
          <w:snapToGrid w:val="0"/>
          <w:kern w:val="32"/>
          <w:sz w:val="32"/>
        </w:rPr>
      </w:pPr>
      <w:r>
        <w:rPr>
          <w:rFonts w:hint="eastAsia" w:ascii="仿宋_GB2312" w:eastAsia="仿宋_GB2312"/>
          <w:snapToGrid w:val="0"/>
          <w:kern w:val="32"/>
          <w:sz w:val="32"/>
        </w:rPr>
        <w:t>武耀康长期从事工业菌种构建选育相关的应用基础研究，以服务生物制造国家重大战略需求为目标，针对模式工业微生物枯草芽孢杆菌遗传操作效率低、代谢调控精度差和菌种选育难度大等关键科学技术问题，围绕“点(遗传操作系统创制)-线(代谢途径精准编程)-面(工业菌种超高通量筛选)”三个层次开展研究，不仅为胞内代谢流的重构优化提供了高效的调控工具，也为工业菌种的开发构建提供了通用性强的筛选策略，所创制的工具系统共享至MolecularCloud平台后网页访问总次数已超过4.2万次，并被帝国理工、上海交大等二十余家单位的科研团队使用。基于上述技术体系，构建获得一株高产精细化学品乙酰氨糖的枯草芽孢杆菌工程菌种，目前已在合作企业建成年产能5000吨的生产线。</w:t>
      </w:r>
    </w:p>
    <w:p>
      <w:pPr>
        <w:pStyle w:val="3"/>
        <w:adjustRightInd w:val="0"/>
        <w:snapToGrid w:val="0"/>
        <w:spacing w:line="540" w:lineRule="exact"/>
        <w:rPr>
          <w:snapToGrid w:val="0"/>
          <w:kern w:val="32"/>
          <w:sz w:val="32"/>
        </w:rPr>
      </w:pPr>
      <w:r>
        <w:rPr>
          <w:rFonts w:hint="eastAsia"/>
          <w:snapToGrid w:val="0"/>
          <w:kern w:val="32"/>
          <w:sz w:val="32"/>
        </w:rPr>
        <w:t>主持国家自然科学基金青年基金、国家重点研发计划子课题等科研项目；发表学术论文40余篇，其中以第一作者在Nature Chemical Biology、Nucleic Acids Research（2篇）、Metabolic Engineering、化工学报等权威期刊发表高水平论文8篇，获中国授权专利9件、美国授权专利1件；入选人社部“博新计划”，获得江苏省优博、全国创新创业优秀博士后等荣誉称号；担任SCI期刊Food Bioscience副主编。</w:t>
      </w:r>
    </w:p>
    <w:p>
      <w:pPr>
        <w:pStyle w:val="3"/>
        <w:adjustRightInd w:val="0"/>
        <w:snapToGrid w:val="0"/>
        <w:spacing w:line="540" w:lineRule="exact"/>
        <w:rPr>
          <w:rFonts w:ascii="Times New Roman" w:hAnsi="Times New Roman" w:eastAsia="黑体"/>
          <w:b/>
          <w:snapToGrid w:val="0"/>
          <w:kern w:val="32"/>
          <w:sz w:val="32"/>
        </w:rPr>
      </w:pPr>
      <w:r>
        <w:rPr>
          <w:rFonts w:ascii="Times New Roman" w:hAnsi="Times New Roman" w:eastAsia="黑体"/>
          <w:b/>
          <w:snapToGrid w:val="0"/>
          <w:kern w:val="32"/>
          <w:sz w:val="32"/>
        </w:rPr>
        <w:t>7.</w:t>
      </w:r>
      <w:r>
        <w:rPr>
          <w:rFonts w:hint="eastAsia"/>
        </w:rPr>
        <w:t xml:space="preserve"> </w:t>
      </w:r>
      <w:r>
        <w:rPr>
          <w:rFonts w:hint="eastAsia" w:ascii="Times New Roman" w:hAnsi="Times New Roman" w:eastAsia="黑体"/>
          <w:b/>
          <w:snapToGrid w:val="0"/>
          <w:kern w:val="32"/>
          <w:sz w:val="32"/>
        </w:rPr>
        <w:t>吴玉超</w:t>
      </w:r>
      <w:r>
        <w:rPr>
          <w:rFonts w:ascii="Times New Roman" w:hAnsi="Times New Roman" w:eastAsia="黑体"/>
          <w:b/>
          <w:snapToGrid w:val="0"/>
          <w:kern w:val="32"/>
          <w:sz w:val="32"/>
        </w:rPr>
        <w:t xml:space="preserve"> </w:t>
      </w:r>
    </w:p>
    <w:p>
      <w:pPr>
        <w:adjustRightInd w:val="0"/>
        <w:snapToGrid w:val="0"/>
        <w:spacing w:line="540" w:lineRule="exact"/>
        <w:ind w:firstLine="640"/>
        <w:rPr>
          <w:rFonts w:ascii="仿宋_GB2312" w:hAnsi="仿宋" w:eastAsia="仿宋_GB2312" w:cs="仿宋"/>
          <w:sz w:val="32"/>
          <w:szCs w:val="32"/>
        </w:rPr>
      </w:pPr>
      <w:r>
        <w:rPr>
          <w:rFonts w:hint="eastAsia" w:ascii="仿宋_GB2312" w:hAnsi="仿宋" w:eastAsia="仿宋_GB2312" w:cs="仿宋"/>
          <w:sz w:val="32"/>
          <w:szCs w:val="32"/>
        </w:rPr>
        <w:t>吴玉超，男，1991年6月出生，博士，现在中国石油石油化工研究院工作、高级工程师，化学专业。</w:t>
      </w:r>
    </w:p>
    <w:p>
      <w:pPr>
        <w:adjustRightInd w:val="0"/>
        <w:snapToGrid w:val="0"/>
        <w:spacing w:line="540" w:lineRule="exact"/>
        <w:ind w:firstLine="640"/>
        <w:rPr>
          <w:rFonts w:ascii="仿宋_GB2312" w:hAnsi="仿宋" w:eastAsia="仿宋_GB2312" w:cs="仿宋"/>
          <w:sz w:val="32"/>
          <w:szCs w:val="32"/>
        </w:rPr>
      </w:pPr>
      <w:r>
        <w:rPr>
          <w:rFonts w:hint="eastAsia" w:ascii="仿宋_GB2312" w:hAnsi="仿宋" w:eastAsia="仿宋_GB2312" w:cs="仿宋"/>
          <w:sz w:val="32"/>
          <w:szCs w:val="32"/>
        </w:rPr>
        <w:t>吴玉超长期致力于高附加值芳烃利用技术开发，2019年至今，共主持C10+萘芳烃成套技术攻关等省部级项目2项，参与燃料电池车用纯化技术开发国家科技部项目1项。在高性能聚酯萘二甲酸乙二醇酯（PEN）关键单体方面，围绕催化轻柴LCO制备2,6-二甲基萘（DMN）路线，主持开发了具有自主知识产权的DMN芳烃成套技术，形成萘类芳烃分析检测、催化柴油精馏分离、DMN结晶分离、催化柴油加氢精制、萘芳烃异构化、烷基化等系列技术，实现关键催化剂全过程自研，完成配套分析方法团标立项，为高性能聚酯材料的产业化提供基础，同时为催化柴油、重整塔釜油等废料的深加工提出新质式解决方案。在中国石油炼化企业建成DMN技术中试实验平台，为形成DMN成套工艺包提供有力支撑。</w:t>
      </w:r>
    </w:p>
    <w:p>
      <w:pPr>
        <w:pStyle w:val="3"/>
        <w:adjustRightInd w:val="0"/>
        <w:snapToGrid w:val="0"/>
        <w:spacing w:line="540" w:lineRule="exact"/>
        <w:ind w:firstLine="640" w:firstLineChars="200"/>
        <w:rPr>
          <w:rFonts w:ascii="Times New Roman" w:hAnsi="Times New Roman"/>
          <w:b/>
          <w:snapToGrid w:val="0"/>
          <w:kern w:val="32"/>
          <w:sz w:val="32"/>
          <w:szCs w:val="22"/>
        </w:rPr>
      </w:pPr>
      <w:r>
        <w:rPr>
          <w:rFonts w:hint="eastAsia" w:hAnsi="仿宋" w:cs="仿宋"/>
          <w:sz w:val="32"/>
          <w:szCs w:val="32"/>
        </w:rPr>
        <w:t>相关成果在Nature Communication、PNAS、Advanced Materials及《中国科学-化学》等期刊上发表论文20余篇（第一/通讯作者9篇），获中国授权专利4件，获得石化院重点项目进展奖、2024年中国石油集团公司创新方法大赛三等奖。担任《石油学报（石油加工）》期刊青年编委，中国化工学会离子液体专业委员会委员。</w:t>
      </w:r>
    </w:p>
    <w:p>
      <w:pPr>
        <w:pStyle w:val="3"/>
        <w:adjustRightInd w:val="0"/>
        <w:snapToGrid w:val="0"/>
        <w:spacing w:line="540" w:lineRule="exact"/>
        <w:rPr>
          <w:rFonts w:ascii="Times New Roman" w:hAnsi="Times New Roman" w:eastAsia="黑体"/>
          <w:b/>
          <w:snapToGrid w:val="0"/>
          <w:kern w:val="32"/>
          <w:sz w:val="32"/>
        </w:rPr>
      </w:pPr>
      <w:r>
        <w:rPr>
          <w:rFonts w:ascii="Times New Roman" w:hAnsi="Times New Roman" w:eastAsia="黑体"/>
          <w:b/>
          <w:snapToGrid w:val="0"/>
          <w:kern w:val="32"/>
          <w:sz w:val="32"/>
        </w:rPr>
        <w:t>8.</w:t>
      </w:r>
      <w:r>
        <w:rPr>
          <w:rFonts w:hint="eastAsia"/>
        </w:rPr>
        <w:t xml:space="preserve"> </w:t>
      </w:r>
      <w:r>
        <w:rPr>
          <w:rFonts w:hint="eastAsia" w:ascii="Times New Roman" w:hAnsi="Times New Roman" w:eastAsia="黑体"/>
          <w:b/>
          <w:snapToGrid w:val="0"/>
          <w:kern w:val="32"/>
          <w:sz w:val="32"/>
        </w:rPr>
        <w:t>张雷</w:t>
      </w:r>
    </w:p>
    <w:p>
      <w:pPr>
        <w:widowControl/>
        <w:adjustRightInd w:val="0"/>
        <w:snapToGrid w:val="0"/>
        <w:spacing w:line="540" w:lineRule="exact"/>
        <w:ind w:firstLine="641"/>
        <w:rPr>
          <w:rFonts w:ascii="仿宋_GB2312" w:eastAsia="仿宋_GB2312"/>
          <w:snapToGrid w:val="0"/>
          <w:kern w:val="32"/>
          <w:sz w:val="32"/>
        </w:rPr>
      </w:pPr>
      <w:r>
        <w:rPr>
          <w:rFonts w:hint="eastAsia" w:ascii="仿宋_GB2312" w:eastAsia="仿宋_GB2312"/>
          <w:snapToGrid w:val="0"/>
          <w:kern w:val="32"/>
          <w:sz w:val="32"/>
        </w:rPr>
        <w:t>张雷，男，1994年5月出生，硕士，现在中石化（大连）石油化工研究院有限公司工作，助理研究员。</w:t>
      </w:r>
    </w:p>
    <w:p>
      <w:pPr>
        <w:widowControl/>
        <w:adjustRightInd w:val="0"/>
        <w:snapToGrid w:val="0"/>
        <w:spacing w:line="540" w:lineRule="exact"/>
        <w:ind w:firstLine="641"/>
        <w:rPr>
          <w:rFonts w:ascii="仿宋_GB2312" w:eastAsia="仿宋_GB2312"/>
          <w:snapToGrid w:val="0"/>
          <w:kern w:val="32"/>
          <w:sz w:val="32"/>
        </w:rPr>
      </w:pPr>
      <w:r>
        <w:rPr>
          <w:rFonts w:hint="eastAsia" w:ascii="仿宋_GB2312" w:eastAsia="仿宋_GB2312"/>
          <w:snapToGrid w:val="0"/>
          <w:kern w:val="32"/>
          <w:sz w:val="32"/>
        </w:rPr>
        <w:t>张雷长期致力于生物基可降解材料聚合物、共聚物合成及生物基聚合物改性研究。作为项目负责人或项目主要完成人先后承担了多项中国石化重大科技项目及重点项目，包括生物基聚乳酸合成技术、生物基乙醇酸制备技术、生物基聚乳酸-乙醇酸共聚物合成及生物基聚乳酸化学改性技术等。开发形成了具有自主知识产权的生物基可降解材料聚乳酸、生物基聚乳酸-乙醇酸共聚物合成及聚乳酸化学改性技术，为工业化应用打下来坚实的基础。参与编制了聚乳酸单体丙交酯万吨级工艺包，负责开发了从乳酸到聚乳酸、丙交酯乙交酯到聚乳酸-乙醇酸共聚物的小试合成工艺，制备合成了高品质的聚乳酸、聚乳酸-乙醇酸共聚物产品。</w:t>
      </w:r>
    </w:p>
    <w:p>
      <w:pPr>
        <w:pStyle w:val="3"/>
        <w:adjustRightInd w:val="0"/>
        <w:snapToGrid w:val="0"/>
        <w:spacing w:line="540" w:lineRule="exact"/>
        <w:ind w:firstLine="641"/>
        <w:rPr>
          <w:rFonts w:ascii="Times New Roman" w:hAnsi="Times New Roman" w:eastAsia="黑体" w:cs="Times New Roman"/>
          <w:b/>
          <w:sz w:val="32"/>
          <w:szCs w:val="32"/>
        </w:rPr>
      </w:pPr>
      <w:r>
        <w:rPr>
          <w:rFonts w:hint="eastAsia"/>
          <w:snapToGrid w:val="0"/>
          <w:kern w:val="32"/>
          <w:sz w:val="32"/>
        </w:rPr>
        <w:t>申请中国发明专利30余件，其中以第一发明人申请中国发明专利10余件、PCT专利1件，授权3件；以第一作者发表SCI论文1篇，中文核心论文2篇，中文期刊论文2篇。</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364078"/>
    </w:sdtPr>
    <w:sdtContent>
      <w:p>
        <w:pPr>
          <w:pStyle w:val="5"/>
          <w:jc w:val="center"/>
        </w:pPr>
        <w:r>
          <w:rPr>
            <w:rFonts w:hint="eastAsia"/>
          </w:rPr>
          <w: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12</w:t>
        </w:r>
        <w:r>
          <w:rPr>
            <w:sz w:val="21"/>
            <w:szCs w:val="21"/>
            <w:lang w:val="zh-CN"/>
          </w:rPr>
          <w:fldChar w:fldCharType="end"/>
        </w:r>
        <w:r>
          <w:rPr>
            <w:rFonts w:hint="eastAsia"/>
          </w:rPr>
          <w:t>-</w:t>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B85"/>
    <w:rsid w:val="00001391"/>
    <w:rsid w:val="00006842"/>
    <w:rsid w:val="00012FE4"/>
    <w:rsid w:val="00024F4A"/>
    <w:rsid w:val="00025B9B"/>
    <w:rsid w:val="000260AE"/>
    <w:rsid w:val="00043007"/>
    <w:rsid w:val="00051437"/>
    <w:rsid w:val="00051824"/>
    <w:rsid w:val="00051A6A"/>
    <w:rsid w:val="0005211E"/>
    <w:rsid w:val="000547F2"/>
    <w:rsid w:val="00065773"/>
    <w:rsid w:val="00071A67"/>
    <w:rsid w:val="000864F9"/>
    <w:rsid w:val="00094F41"/>
    <w:rsid w:val="000B786F"/>
    <w:rsid w:val="000C33C9"/>
    <w:rsid w:val="000C56AD"/>
    <w:rsid w:val="000C77CD"/>
    <w:rsid w:val="000D2174"/>
    <w:rsid w:val="000D4CA4"/>
    <w:rsid w:val="000E09D0"/>
    <w:rsid w:val="001117AA"/>
    <w:rsid w:val="00113C7D"/>
    <w:rsid w:val="001176EF"/>
    <w:rsid w:val="001261EE"/>
    <w:rsid w:val="00126AAC"/>
    <w:rsid w:val="00127325"/>
    <w:rsid w:val="001377B2"/>
    <w:rsid w:val="00144079"/>
    <w:rsid w:val="00144853"/>
    <w:rsid w:val="00161992"/>
    <w:rsid w:val="00161EDA"/>
    <w:rsid w:val="001632CB"/>
    <w:rsid w:val="0018325B"/>
    <w:rsid w:val="00192CDD"/>
    <w:rsid w:val="00196D2E"/>
    <w:rsid w:val="001A2EE5"/>
    <w:rsid w:val="001D22AB"/>
    <w:rsid w:val="001D7308"/>
    <w:rsid w:val="001E4072"/>
    <w:rsid w:val="00207B27"/>
    <w:rsid w:val="0021374A"/>
    <w:rsid w:val="00214006"/>
    <w:rsid w:val="002154BC"/>
    <w:rsid w:val="002236D1"/>
    <w:rsid w:val="0025228F"/>
    <w:rsid w:val="0026347B"/>
    <w:rsid w:val="00284E3B"/>
    <w:rsid w:val="00294202"/>
    <w:rsid w:val="002A0798"/>
    <w:rsid w:val="002A32BD"/>
    <w:rsid w:val="002B2546"/>
    <w:rsid w:val="002B2673"/>
    <w:rsid w:val="002B3D9F"/>
    <w:rsid w:val="002B4E9C"/>
    <w:rsid w:val="002C5383"/>
    <w:rsid w:val="002D1259"/>
    <w:rsid w:val="002E10CF"/>
    <w:rsid w:val="002F0ACD"/>
    <w:rsid w:val="002F591B"/>
    <w:rsid w:val="00302A32"/>
    <w:rsid w:val="00330AFF"/>
    <w:rsid w:val="003338C9"/>
    <w:rsid w:val="00335C05"/>
    <w:rsid w:val="00336A23"/>
    <w:rsid w:val="003419EE"/>
    <w:rsid w:val="00354ED7"/>
    <w:rsid w:val="00356645"/>
    <w:rsid w:val="003614CD"/>
    <w:rsid w:val="00363FEA"/>
    <w:rsid w:val="00367B44"/>
    <w:rsid w:val="00370875"/>
    <w:rsid w:val="00372648"/>
    <w:rsid w:val="0037325A"/>
    <w:rsid w:val="00375222"/>
    <w:rsid w:val="003857F7"/>
    <w:rsid w:val="0039227A"/>
    <w:rsid w:val="003B13FE"/>
    <w:rsid w:val="003C05C2"/>
    <w:rsid w:val="003C2BB9"/>
    <w:rsid w:val="003E5319"/>
    <w:rsid w:val="003F130B"/>
    <w:rsid w:val="003F3B51"/>
    <w:rsid w:val="003F5989"/>
    <w:rsid w:val="003F76B1"/>
    <w:rsid w:val="00400196"/>
    <w:rsid w:val="0040368D"/>
    <w:rsid w:val="004205C7"/>
    <w:rsid w:val="0042751E"/>
    <w:rsid w:val="0043250C"/>
    <w:rsid w:val="00443294"/>
    <w:rsid w:val="00466C9F"/>
    <w:rsid w:val="00476C2A"/>
    <w:rsid w:val="00477216"/>
    <w:rsid w:val="004A7FC9"/>
    <w:rsid w:val="004C2D0A"/>
    <w:rsid w:val="004C64AD"/>
    <w:rsid w:val="004C6C88"/>
    <w:rsid w:val="004D2074"/>
    <w:rsid w:val="004D74DB"/>
    <w:rsid w:val="004E461D"/>
    <w:rsid w:val="004F4619"/>
    <w:rsid w:val="00515C04"/>
    <w:rsid w:val="0052208F"/>
    <w:rsid w:val="00525B9C"/>
    <w:rsid w:val="005303D0"/>
    <w:rsid w:val="005350DB"/>
    <w:rsid w:val="00542D6B"/>
    <w:rsid w:val="00551058"/>
    <w:rsid w:val="00570A7B"/>
    <w:rsid w:val="0058325C"/>
    <w:rsid w:val="0058483D"/>
    <w:rsid w:val="00584A26"/>
    <w:rsid w:val="005927B6"/>
    <w:rsid w:val="0059689D"/>
    <w:rsid w:val="005A6DD1"/>
    <w:rsid w:val="005B246B"/>
    <w:rsid w:val="005B48CF"/>
    <w:rsid w:val="005C57E2"/>
    <w:rsid w:val="005C5B9E"/>
    <w:rsid w:val="005C6E70"/>
    <w:rsid w:val="005D1D02"/>
    <w:rsid w:val="005D60FE"/>
    <w:rsid w:val="005F3A7F"/>
    <w:rsid w:val="00604EA3"/>
    <w:rsid w:val="00611B22"/>
    <w:rsid w:val="006149D1"/>
    <w:rsid w:val="00621FD9"/>
    <w:rsid w:val="00623F99"/>
    <w:rsid w:val="00626110"/>
    <w:rsid w:val="00627A8F"/>
    <w:rsid w:val="00630900"/>
    <w:rsid w:val="00631DCB"/>
    <w:rsid w:val="00635B28"/>
    <w:rsid w:val="00641654"/>
    <w:rsid w:val="00642756"/>
    <w:rsid w:val="00646EAF"/>
    <w:rsid w:val="006478BC"/>
    <w:rsid w:val="00660976"/>
    <w:rsid w:val="00673057"/>
    <w:rsid w:val="00674519"/>
    <w:rsid w:val="0067759F"/>
    <w:rsid w:val="00677A46"/>
    <w:rsid w:val="0068658A"/>
    <w:rsid w:val="00690AEA"/>
    <w:rsid w:val="00697CE4"/>
    <w:rsid w:val="006C231D"/>
    <w:rsid w:val="006C27DA"/>
    <w:rsid w:val="006D351C"/>
    <w:rsid w:val="006E19DE"/>
    <w:rsid w:val="006E580D"/>
    <w:rsid w:val="006F3FEC"/>
    <w:rsid w:val="00701FD2"/>
    <w:rsid w:val="00704164"/>
    <w:rsid w:val="0071148B"/>
    <w:rsid w:val="007122E5"/>
    <w:rsid w:val="00716F42"/>
    <w:rsid w:val="007170A1"/>
    <w:rsid w:val="00717836"/>
    <w:rsid w:val="00721551"/>
    <w:rsid w:val="00725F58"/>
    <w:rsid w:val="007330B5"/>
    <w:rsid w:val="00735D26"/>
    <w:rsid w:val="007455FB"/>
    <w:rsid w:val="00755485"/>
    <w:rsid w:val="00755748"/>
    <w:rsid w:val="00756ABC"/>
    <w:rsid w:val="00767423"/>
    <w:rsid w:val="00773EB1"/>
    <w:rsid w:val="00777C9F"/>
    <w:rsid w:val="00781403"/>
    <w:rsid w:val="00786525"/>
    <w:rsid w:val="007938B1"/>
    <w:rsid w:val="00797B85"/>
    <w:rsid w:val="007B077B"/>
    <w:rsid w:val="007B251E"/>
    <w:rsid w:val="007C1F8C"/>
    <w:rsid w:val="007C7AAA"/>
    <w:rsid w:val="007D6F58"/>
    <w:rsid w:val="007E14BD"/>
    <w:rsid w:val="00821157"/>
    <w:rsid w:val="008244CF"/>
    <w:rsid w:val="0083128A"/>
    <w:rsid w:val="00842C7C"/>
    <w:rsid w:val="00844E25"/>
    <w:rsid w:val="00860AE4"/>
    <w:rsid w:val="00866008"/>
    <w:rsid w:val="00866FD1"/>
    <w:rsid w:val="008738A0"/>
    <w:rsid w:val="00873D84"/>
    <w:rsid w:val="008876B8"/>
    <w:rsid w:val="008913DB"/>
    <w:rsid w:val="008A0735"/>
    <w:rsid w:val="008A7FA4"/>
    <w:rsid w:val="008B0D2A"/>
    <w:rsid w:val="008C1F94"/>
    <w:rsid w:val="008C2C1E"/>
    <w:rsid w:val="008C525E"/>
    <w:rsid w:val="008D5906"/>
    <w:rsid w:val="008E0032"/>
    <w:rsid w:val="00907E6D"/>
    <w:rsid w:val="0091299C"/>
    <w:rsid w:val="009177DE"/>
    <w:rsid w:val="009332EA"/>
    <w:rsid w:val="00933F51"/>
    <w:rsid w:val="009355DD"/>
    <w:rsid w:val="009404BC"/>
    <w:rsid w:val="00943E00"/>
    <w:rsid w:val="00951100"/>
    <w:rsid w:val="009524BA"/>
    <w:rsid w:val="00954A90"/>
    <w:rsid w:val="009553E8"/>
    <w:rsid w:val="009558D4"/>
    <w:rsid w:val="00955BC6"/>
    <w:rsid w:val="009617AB"/>
    <w:rsid w:val="0096271E"/>
    <w:rsid w:val="009661DF"/>
    <w:rsid w:val="00971056"/>
    <w:rsid w:val="00984149"/>
    <w:rsid w:val="009856A4"/>
    <w:rsid w:val="00994ABA"/>
    <w:rsid w:val="009A1DD1"/>
    <w:rsid w:val="009A3EC1"/>
    <w:rsid w:val="009C0A7D"/>
    <w:rsid w:val="009C6A76"/>
    <w:rsid w:val="009D46B8"/>
    <w:rsid w:val="009E6712"/>
    <w:rsid w:val="009F7625"/>
    <w:rsid w:val="00A008B5"/>
    <w:rsid w:val="00A011E5"/>
    <w:rsid w:val="00A1488C"/>
    <w:rsid w:val="00A1595B"/>
    <w:rsid w:val="00A60BB1"/>
    <w:rsid w:val="00A62FB2"/>
    <w:rsid w:val="00A81123"/>
    <w:rsid w:val="00A83189"/>
    <w:rsid w:val="00AA1C03"/>
    <w:rsid w:val="00AA4FA9"/>
    <w:rsid w:val="00AA678F"/>
    <w:rsid w:val="00AD6B3C"/>
    <w:rsid w:val="00AE4B5A"/>
    <w:rsid w:val="00AE6324"/>
    <w:rsid w:val="00AF08EA"/>
    <w:rsid w:val="00AF5D19"/>
    <w:rsid w:val="00AF6EF6"/>
    <w:rsid w:val="00B1689B"/>
    <w:rsid w:val="00B16AE3"/>
    <w:rsid w:val="00B202D3"/>
    <w:rsid w:val="00B319F2"/>
    <w:rsid w:val="00B429C1"/>
    <w:rsid w:val="00B4660A"/>
    <w:rsid w:val="00B57421"/>
    <w:rsid w:val="00B65364"/>
    <w:rsid w:val="00B74B71"/>
    <w:rsid w:val="00B77F8E"/>
    <w:rsid w:val="00B907FB"/>
    <w:rsid w:val="00BA4C2F"/>
    <w:rsid w:val="00BB41E2"/>
    <w:rsid w:val="00BB6F64"/>
    <w:rsid w:val="00BB7A98"/>
    <w:rsid w:val="00BC13B5"/>
    <w:rsid w:val="00BC31B8"/>
    <w:rsid w:val="00BD62A3"/>
    <w:rsid w:val="00BF63C8"/>
    <w:rsid w:val="00C0203F"/>
    <w:rsid w:val="00C04C98"/>
    <w:rsid w:val="00C1459E"/>
    <w:rsid w:val="00C14686"/>
    <w:rsid w:val="00C17469"/>
    <w:rsid w:val="00C20E45"/>
    <w:rsid w:val="00C2447D"/>
    <w:rsid w:val="00C35F5C"/>
    <w:rsid w:val="00C4274F"/>
    <w:rsid w:val="00C45CAA"/>
    <w:rsid w:val="00C53735"/>
    <w:rsid w:val="00C5384F"/>
    <w:rsid w:val="00C71CAD"/>
    <w:rsid w:val="00C71D19"/>
    <w:rsid w:val="00C73717"/>
    <w:rsid w:val="00C831F3"/>
    <w:rsid w:val="00CA0639"/>
    <w:rsid w:val="00CA5462"/>
    <w:rsid w:val="00CC5C17"/>
    <w:rsid w:val="00CC63DE"/>
    <w:rsid w:val="00CD4409"/>
    <w:rsid w:val="00CE30CF"/>
    <w:rsid w:val="00CF1298"/>
    <w:rsid w:val="00D1130E"/>
    <w:rsid w:val="00D16749"/>
    <w:rsid w:val="00D21BD7"/>
    <w:rsid w:val="00D26DDC"/>
    <w:rsid w:val="00D307AA"/>
    <w:rsid w:val="00D3269E"/>
    <w:rsid w:val="00D426F2"/>
    <w:rsid w:val="00D43653"/>
    <w:rsid w:val="00D4677D"/>
    <w:rsid w:val="00D46A8C"/>
    <w:rsid w:val="00D555BF"/>
    <w:rsid w:val="00D63BED"/>
    <w:rsid w:val="00D67897"/>
    <w:rsid w:val="00D749C8"/>
    <w:rsid w:val="00D761A0"/>
    <w:rsid w:val="00D9225B"/>
    <w:rsid w:val="00D924A7"/>
    <w:rsid w:val="00D92F45"/>
    <w:rsid w:val="00D94E81"/>
    <w:rsid w:val="00D94F1C"/>
    <w:rsid w:val="00DA3276"/>
    <w:rsid w:val="00DA3D63"/>
    <w:rsid w:val="00DE6F9C"/>
    <w:rsid w:val="00DF43BF"/>
    <w:rsid w:val="00E03F1C"/>
    <w:rsid w:val="00E06545"/>
    <w:rsid w:val="00E112DA"/>
    <w:rsid w:val="00E20D1E"/>
    <w:rsid w:val="00E306A9"/>
    <w:rsid w:val="00E322E7"/>
    <w:rsid w:val="00E623C3"/>
    <w:rsid w:val="00E62A49"/>
    <w:rsid w:val="00E66E39"/>
    <w:rsid w:val="00E673D0"/>
    <w:rsid w:val="00E90F7B"/>
    <w:rsid w:val="00E93B96"/>
    <w:rsid w:val="00EA752F"/>
    <w:rsid w:val="00EC206C"/>
    <w:rsid w:val="00ED4746"/>
    <w:rsid w:val="00EE50C4"/>
    <w:rsid w:val="00EF0E06"/>
    <w:rsid w:val="00EF6750"/>
    <w:rsid w:val="00F031E4"/>
    <w:rsid w:val="00F0328F"/>
    <w:rsid w:val="00F06E74"/>
    <w:rsid w:val="00F06EE8"/>
    <w:rsid w:val="00F07505"/>
    <w:rsid w:val="00F10582"/>
    <w:rsid w:val="00F152B9"/>
    <w:rsid w:val="00F20B5F"/>
    <w:rsid w:val="00F22353"/>
    <w:rsid w:val="00F41A7D"/>
    <w:rsid w:val="00F4692B"/>
    <w:rsid w:val="00F615CA"/>
    <w:rsid w:val="00F62A09"/>
    <w:rsid w:val="00F71453"/>
    <w:rsid w:val="00F804A2"/>
    <w:rsid w:val="00F81615"/>
    <w:rsid w:val="00F84BCF"/>
    <w:rsid w:val="00F91CD8"/>
    <w:rsid w:val="00F949B1"/>
    <w:rsid w:val="00F959DE"/>
    <w:rsid w:val="00FA039E"/>
    <w:rsid w:val="00FA06C4"/>
    <w:rsid w:val="00FA2D9A"/>
    <w:rsid w:val="00FA431D"/>
    <w:rsid w:val="00FB2B85"/>
    <w:rsid w:val="00FD4B4D"/>
    <w:rsid w:val="00FF47AC"/>
    <w:rsid w:val="00FF50E4"/>
    <w:rsid w:val="02C14461"/>
    <w:rsid w:val="0A8C4E97"/>
    <w:rsid w:val="0EE81620"/>
    <w:rsid w:val="17DF0727"/>
    <w:rsid w:val="18EB1B72"/>
    <w:rsid w:val="1DC77BD3"/>
    <w:rsid w:val="1E5B0691"/>
    <w:rsid w:val="25AE16DB"/>
    <w:rsid w:val="2D967038"/>
    <w:rsid w:val="2DC83E87"/>
    <w:rsid w:val="32EC015B"/>
    <w:rsid w:val="38C53E0E"/>
    <w:rsid w:val="44DB4683"/>
    <w:rsid w:val="47482C6C"/>
    <w:rsid w:val="4B725405"/>
    <w:rsid w:val="4CAE1ED0"/>
    <w:rsid w:val="65F96ADB"/>
    <w:rsid w:val="67285E3B"/>
    <w:rsid w:val="75950E8A"/>
    <w:rsid w:val="7AC056D6"/>
    <w:rsid w:val="7DEFF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uiPriority w:val="99"/>
    <w:pPr>
      <w:spacing w:line="540" w:lineRule="exact"/>
      <w:ind w:firstLine="198" w:firstLineChars="200"/>
      <w:jc w:val="left"/>
    </w:pPr>
    <w:rPr>
      <w:rFonts w:ascii="Times New Roman" w:hAnsi="Times New Roman" w:eastAsia="宋体" w:cs="Times New Roman"/>
      <w:kern w:val="0"/>
      <w:sz w:val="24"/>
      <w:szCs w:val="24"/>
    </w:rPr>
  </w:style>
  <w:style w:type="paragraph" w:styleId="3">
    <w:name w:val="Plain Text"/>
    <w:basedOn w:val="1"/>
    <w:link w:val="14"/>
    <w:unhideWhenUsed/>
    <w:qFormat/>
    <w:uiPriority w:val="99"/>
    <w:pPr>
      <w:widowControl/>
      <w:spacing w:line="360" w:lineRule="auto"/>
      <w:ind w:firstLine="480"/>
    </w:pPr>
    <w:rPr>
      <w:rFonts w:ascii="仿宋_GB2312" w:hAnsi="宋体" w:eastAsia="仿宋_GB2312" w:cs="宋体"/>
      <w:kern w:val="0"/>
      <w:sz w:val="24"/>
      <w:szCs w:val="24"/>
    </w:r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8"/>
    <w:semiHidden/>
    <w:unhideWhenUsed/>
    <w:uiPriority w:val="99"/>
    <w:pPr>
      <w:spacing w:line="240" w:lineRule="auto"/>
      <w:ind w:firstLine="0" w:firstLineChars="0"/>
    </w:pPr>
    <w:rPr>
      <w:rFonts w:asciiTheme="minorHAnsi" w:hAnsiTheme="minorHAnsi" w:eastAsiaTheme="minorEastAsia" w:cstheme="minorBidi"/>
      <w:b/>
      <w:bCs/>
      <w:kern w:val="2"/>
      <w:sz w:val="21"/>
      <w:szCs w:val="22"/>
    </w:rPr>
  </w:style>
  <w:style w:type="character" w:styleId="10">
    <w:name w:val="Hyperlink"/>
    <w:basedOn w:val="9"/>
    <w:unhideWhenUsed/>
    <w:qFormat/>
    <w:uiPriority w:val="99"/>
    <w:rPr>
      <w:color w:val="0000FF"/>
      <w:u w:val="single"/>
    </w:rPr>
  </w:style>
  <w:style w:type="character" w:styleId="11">
    <w:name w:val="annotation reference"/>
    <w:basedOn w:val="9"/>
    <w:semiHidden/>
    <w:unhideWhenUsed/>
    <w:uiPriority w:val="99"/>
    <w:rPr>
      <w:sz w:val="21"/>
      <w:szCs w:val="21"/>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纯文本 Char"/>
    <w:basedOn w:val="9"/>
    <w:link w:val="3"/>
    <w:qFormat/>
    <w:uiPriority w:val="99"/>
    <w:rPr>
      <w:rFonts w:ascii="仿宋_GB2312" w:hAnsi="宋体" w:eastAsia="仿宋_GB2312" w:cs="宋体"/>
      <w:kern w:val="0"/>
      <w:sz w:val="24"/>
      <w:szCs w:val="24"/>
    </w:rPr>
  </w:style>
  <w:style w:type="paragraph" w:styleId="15">
    <w:name w:val="List Paragraph"/>
    <w:basedOn w:val="1"/>
    <w:qFormat/>
    <w:uiPriority w:val="34"/>
    <w:pPr>
      <w:ind w:firstLine="420" w:firstLineChars="200"/>
    </w:pPr>
  </w:style>
  <w:style w:type="character" w:customStyle="1" w:styleId="16">
    <w:name w:val="批注框文本 Char"/>
    <w:basedOn w:val="9"/>
    <w:link w:val="4"/>
    <w:semiHidden/>
    <w:qFormat/>
    <w:uiPriority w:val="99"/>
    <w:rPr>
      <w:sz w:val="18"/>
      <w:szCs w:val="18"/>
    </w:rPr>
  </w:style>
  <w:style w:type="character" w:customStyle="1" w:styleId="17">
    <w:name w:val="批注文字 Char"/>
    <w:basedOn w:val="9"/>
    <w:link w:val="2"/>
    <w:semiHidden/>
    <w:qFormat/>
    <w:uiPriority w:val="99"/>
    <w:rPr>
      <w:rFonts w:ascii="Times New Roman" w:hAnsi="Times New Roman" w:eastAsia="宋体" w:cs="Times New Roman"/>
      <w:sz w:val="24"/>
      <w:szCs w:val="24"/>
    </w:rPr>
  </w:style>
  <w:style w:type="character" w:customStyle="1" w:styleId="18">
    <w:name w:val="批注主题 Char"/>
    <w:basedOn w:val="17"/>
    <w:link w:val="7"/>
    <w:semiHidden/>
    <w:qFormat/>
    <w:uiPriority w:val="99"/>
    <w:rPr>
      <w:rFonts w:ascii="Times New Roman" w:hAnsi="Times New Roman" w:eastAsia="宋体" w:cs="Times New Roman"/>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Sinopec</Company>
  <Pages>12</Pages>
  <Words>1010</Words>
  <Characters>5762</Characters>
  <Lines>48</Lines>
  <Paragraphs>13</Paragraphs>
  <TotalTime>48</TotalTime>
  <ScaleCrop>false</ScaleCrop>
  <LinksUpToDate>false</LinksUpToDate>
  <CharactersWithSpaces>6759</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2025-02-19T11:30:00Z</dcterms:created>
  <dc:creator>dell</dc:creator>
  <cp:lastModifiedBy>刘博</cp:lastModifiedBy>
  <cp:lastPrinted>2024-12-12T14:13:00Z</cp:lastPrinted>
  <dcterms:modified xsi:type="dcterms:W3CDTF">2025-02-21T13:52:56Z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6B0315EA85025A59A114B867C83C39AA</vt:lpwstr>
  </property>
</Properties>
</file>